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FB" w:rsidRPr="00314CFB" w:rsidRDefault="00314CFB" w:rsidP="00314CFB">
      <w:pPr>
        <w:autoSpaceDE w:val="0"/>
        <w:autoSpaceDN w:val="0"/>
        <w:adjustRightInd w:val="0"/>
        <w:spacing w:line="276" w:lineRule="auto"/>
        <w:jc w:val="both"/>
        <w:rPr>
          <w:rFonts w:asciiTheme="minorHAnsi" w:hAnsiTheme="minorHAnsi" w:cstheme="minorHAnsi"/>
          <w:b/>
          <w:sz w:val="22"/>
          <w:szCs w:val="22"/>
        </w:rPr>
      </w:pPr>
      <w:bookmarkStart w:id="0" w:name="_GoBack"/>
      <w:bookmarkEnd w:id="0"/>
      <w:r w:rsidRPr="00314CFB">
        <w:rPr>
          <w:rFonts w:asciiTheme="minorHAnsi" w:hAnsiTheme="minorHAnsi" w:cstheme="minorHAnsi"/>
          <w:b/>
          <w:sz w:val="22"/>
          <w:szCs w:val="22"/>
        </w:rPr>
        <w:t>Personalens upplevelse av arbetstillfredsställelse inom vården av personer med demens</w:t>
      </w: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Anna-Karin Edberg, Professor i omvårdnad, Högskolan Kristianstad (sökande nr 33</w:t>
      </w:r>
      <w:r w:rsidR="00E6113A">
        <w:rPr>
          <w:rFonts w:asciiTheme="minorHAnsi" w:hAnsiTheme="minorHAnsi" w:cstheme="minorHAnsi"/>
          <w:sz w:val="22"/>
          <w:szCs w:val="22"/>
        </w:rPr>
        <w:t>-2013</w:t>
      </w:r>
      <w:r>
        <w:rPr>
          <w:rFonts w:asciiTheme="minorHAnsi" w:hAnsiTheme="minorHAnsi" w:cstheme="minorHAnsi"/>
          <w:sz w:val="22"/>
          <w:szCs w:val="22"/>
        </w:rPr>
        <w:t>)</w:t>
      </w: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Våra tidigare studier (Orrung Wallin m fl 2012; Orrung Wallin m fl </w:t>
      </w:r>
      <w:r>
        <w:rPr>
          <w:rFonts w:asciiTheme="minorHAnsi" w:hAnsiTheme="minorHAnsi" w:cstheme="minorHAnsi"/>
          <w:i/>
          <w:sz w:val="22"/>
          <w:szCs w:val="22"/>
        </w:rPr>
        <w:t>in press</w:t>
      </w:r>
      <w:r>
        <w:rPr>
          <w:rFonts w:asciiTheme="minorHAnsi" w:hAnsiTheme="minorHAnsi" w:cstheme="minorHAnsi"/>
          <w:sz w:val="22"/>
          <w:szCs w:val="22"/>
        </w:rPr>
        <w:t xml:space="preserve">) som har genomförts med stöd från Demensfonden, har visat att tillfredsställelse och påfrestning endast till en viss del överlappar varandra, det vill säga att en hög tillfredsställelse </w:t>
      </w:r>
      <w:r>
        <w:rPr>
          <w:rFonts w:asciiTheme="minorHAnsi" w:hAnsiTheme="minorHAnsi" w:cstheme="minorHAnsi"/>
          <w:i/>
          <w:sz w:val="22"/>
          <w:szCs w:val="22"/>
        </w:rPr>
        <w:t>inte</w:t>
      </w:r>
      <w:r>
        <w:rPr>
          <w:rFonts w:asciiTheme="minorHAnsi" w:hAnsiTheme="minorHAnsi" w:cstheme="minorHAnsi"/>
          <w:sz w:val="22"/>
          <w:szCs w:val="22"/>
        </w:rPr>
        <w:t xml:space="preserve"> självklart innebär låg påfrestning och att olika faktorer är involverade i de båda dimensionerna. I den första studien (Orrung Wallin m fl 2012) såg vi att möjligheterna att kunna ge en personcentrerad vård och ett tydligt ledarskap hade samband med upplevelsen av hög arbetstillfredsställelse. Det fanns däremot ingen skillnad avseende tillfredsställelse med arbetet mellan demensboenden och ”vanliga” särskilda boendeenheter. Den andra studien (Orrung Wallin m fl </w:t>
      </w:r>
      <w:r>
        <w:rPr>
          <w:rFonts w:asciiTheme="minorHAnsi" w:hAnsiTheme="minorHAnsi" w:cstheme="minorHAnsi"/>
          <w:i/>
          <w:sz w:val="22"/>
          <w:szCs w:val="22"/>
        </w:rPr>
        <w:t>in press</w:t>
      </w:r>
      <w:r>
        <w:rPr>
          <w:rFonts w:asciiTheme="minorHAnsi" w:hAnsiTheme="minorHAnsi" w:cstheme="minorHAnsi"/>
          <w:sz w:val="22"/>
          <w:szCs w:val="22"/>
        </w:rPr>
        <w:t xml:space="preserve">) visade att organisatoriskt och miljömässigt stöd, liksom lägre utbildning, hade samband med låg påfrestning och samvetsstress. Vi fann vidare att personcentrerad vård och ledarskap främst var relaterat till upplevelsen av påfrestning, medan vårdklimatet främst var relaterat till upplevelsen av samvetsstress. Således är möjligheten att ge en personcentrerad vård och ledarskapet faktorer som är betydelsefulla för upplevelsen av såväl påfrestning som tillfredsställelse, medan exempelvis utbildning främst verkar ha betydelse för personalens upplevelse av påfrestning, men inte för deras tillfredsställelse i arbetet. </w:t>
      </w: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 studier där vi har frågat vårdpersonal om deras upplevelse av påfrestning (Edberg m fl 2009) poängterar de att den vanligaste känslan under en arbetsdag är glädje och tillfredsställelse. Tidigare forskning har dock främst fokuserat på vårdandets negativa aspekter. Även om våra tidigare kvantitativa studier har visat på faktorer som kan bidra till tillfredsställelse, har vi fortfarande bristande kunskap om vad personalen själva upplever ger dem tillfredsställelse i arbetet. </w:t>
      </w: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p>
    <w:p w:rsidR="00314CFB" w:rsidRDefault="00314CFB" w:rsidP="00314CFB">
      <w:pPr>
        <w:autoSpaceDE w:val="0"/>
        <w:autoSpaceDN w:val="0"/>
        <w:adjustRightInd w:val="0"/>
        <w:spacing w:line="276" w:lineRule="auto"/>
        <w:jc w:val="both"/>
        <w:rPr>
          <w:rFonts w:asciiTheme="minorHAnsi" w:hAnsiTheme="minorHAnsi" w:cstheme="minorHAnsi"/>
          <w:sz w:val="22"/>
          <w:szCs w:val="22"/>
        </w:rPr>
      </w:pPr>
    </w:p>
    <w:p w:rsidR="00314CFB" w:rsidRDefault="00314CFB" w:rsidP="00314CFB">
      <w:pPr>
        <w:tabs>
          <w:tab w:val="left" w:pos="720"/>
          <w:tab w:val="left" w:pos="5760"/>
        </w:tabs>
        <w:spacing w:line="276" w:lineRule="auto"/>
        <w:ind w:right="-108"/>
        <w:jc w:val="both"/>
        <w:rPr>
          <w:rFonts w:asciiTheme="minorHAnsi" w:hAnsiTheme="minorHAnsi" w:cstheme="minorHAnsi"/>
          <w:sz w:val="22"/>
          <w:szCs w:val="22"/>
        </w:rPr>
      </w:pPr>
      <w:r>
        <w:rPr>
          <w:rFonts w:asciiTheme="minorHAnsi" w:hAnsiTheme="minorHAnsi" w:cstheme="minorHAnsi"/>
          <w:b/>
          <w:sz w:val="22"/>
          <w:szCs w:val="22"/>
        </w:rPr>
        <w:t>Syftet</w:t>
      </w:r>
      <w:r>
        <w:rPr>
          <w:rFonts w:asciiTheme="minorHAnsi" w:hAnsiTheme="minorHAnsi" w:cstheme="minorHAnsi"/>
          <w:sz w:val="22"/>
          <w:szCs w:val="22"/>
        </w:rPr>
        <w:t xml:space="preserve"> med studien är således att undersöka vårdpersonalens upplevelse av tillfredsställelse i arbetet på särskilt boende. </w:t>
      </w:r>
    </w:p>
    <w:p w:rsidR="00314CFB" w:rsidRDefault="00314CFB" w:rsidP="00314CFB">
      <w:pPr>
        <w:tabs>
          <w:tab w:val="left" w:pos="720"/>
          <w:tab w:val="left" w:pos="5760"/>
        </w:tabs>
        <w:spacing w:line="276" w:lineRule="auto"/>
        <w:ind w:right="-108"/>
        <w:jc w:val="both"/>
        <w:rPr>
          <w:rFonts w:asciiTheme="minorHAnsi" w:hAnsiTheme="minorHAnsi" w:cstheme="minorHAnsi"/>
          <w:sz w:val="22"/>
          <w:szCs w:val="22"/>
        </w:rPr>
      </w:pPr>
    </w:p>
    <w:p w:rsidR="00314CFB" w:rsidRDefault="00314CFB" w:rsidP="00314CFB">
      <w:pPr>
        <w:tabs>
          <w:tab w:val="left" w:pos="720"/>
          <w:tab w:val="left" w:pos="5760"/>
        </w:tabs>
        <w:spacing w:line="276" w:lineRule="auto"/>
        <w:ind w:right="-108"/>
        <w:jc w:val="both"/>
        <w:rPr>
          <w:rFonts w:asciiTheme="minorHAnsi" w:hAnsiTheme="minorHAnsi" w:cstheme="minorHAnsi"/>
          <w:sz w:val="22"/>
          <w:szCs w:val="22"/>
        </w:rPr>
      </w:pPr>
      <w:r>
        <w:rPr>
          <w:rFonts w:asciiTheme="minorHAnsi" w:hAnsiTheme="minorHAnsi" w:cstheme="minorHAnsi"/>
          <w:sz w:val="22"/>
          <w:szCs w:val="22"/>
        </w:rPr>
        <w:t>Specifika frågeställningar:</w:t>
      </w:r>
    </w:p>
    <w:p w:rsidR="00314CFB" w:rsidRDefault="00314CFB" w:rsidP="00314CFB">
      <w:pPr>
        <w:numPr>
          <w:ilvl w:val="0"/>
          <w:numId w:val="1"/>
        </w:numPr>
        <w:tabs>
          <w:tab w:val="left" w:pos="720"/>
          <w:tab w:val="left" w:pos="5760"/>
        </w:tabs>
        <w:spacing w:line="276" w:lineRule="auto"/>
        <w:ind w:right="-108"/>
        <w:jc w:val="both"/>
        <w:rPr>
          <w:rFonts w:asciiTheme="minorHAnsi" w:hAnsiTheme="minorHAnsi" w:cstheme="minorHAnsi"/>
          <w:sz w:val="22"/>
          <w:szCs w:val="22"/>
        </w:rPr>
      </w:pPr>
      <w:r>
        <w:rPr>
          <w:rFonts w:asciiTheme="minorHAnsi" w:hAnsiTheme="minorHAnsi" w:cstheme="minorHAnsi"/>
          <w:sz w:val="22"/>
          <w:szCs w:val="22"/>
        </w:rPr>
        <w:t>Vad är arbetstillfredsställelse för personal inom särskilt boende (SäBo)?</w:t>
      </w:r>
    </w:p>
    <w:p w:rsidR="00314CFB" w:rsidRDefault="00314CFB" w:rsidP="00314CFB">
      <w:pPr>
        <w:numPr>
          <w:ilvl w:val="0"/>
          <w:numId w:val="1"/>
        </w:numPr>
        <w:tabs>
          <w:tab w:val="left" w:pos="720"/>
          <w:tab w:val="left" w:pos="5760"/>
        </w:tabs>
        <w:spacing w:line="276" w:lineRule="auto"/>
        <w:ind w:right="-108"/>
        <w:jc w:val="both"/>
        <w:rPr>
          <w:rFonts w:asciiTheme="minorHAnsi" w:hAnsiTheme="minorHAnsi" w:cstheme="minorHAnsi"/>
          <w:sz w:val="22"/>
          <w:szCs w:val="22"/>
        </w:rPr>
      </w:pPr>
      <w:r>
        <w:rPr>
          <w:rFonts w:asciiTheme="minorHAnsi" w:hAnsiTheme="minorHAnsi" w:cstheme="minorHAnsi"/>
          <w:sz w:val="22"/>
          <w:szCs w:val="22"/>
        </w:rPr>
        <w:t xml:space="preserve">I vilka situationer känner sig personalen tillfredsställda? </w:t>
      </w:r>
    </w:p>
    <w:p w:rsidR="00314CFB" w:rsidRDefault="00314CFB" w:rsidP="00314CFB">
      <w:pPr>
        <w:numPr>
          <w:ilvl w:val="0"/>
          <w:numId w:val="1"/>
        </w:numPr>
        <w:tabs>
          <w:tab w:val="left" w:pos="720"/>
          <w:tab w:val="left" w:pos="5760"/>
        </w:tabs>
        <w:spacing w:line="276" w:lineRule="auto"/>
        <w:ind w:right="-108"/>
        <w:jc w:val="both"/>
        <w:rPr>
          <w:rFonts w:asciiTheme="minorHAnsi" w:hAnsiTheme="minorHAnsi" w:cstheme="minorHAnsi"/>
          <w:sz w:val="22"/>
          <w:szCs w:val="22"/>
        </w:rPr>
      </w:pPr>
      <w:r>
        <w:rPr>
          <w:rFonts w:asciiTheme="minorHAnsi" w:hAnsiTheme="minorHAnsi" w:cstheme="minorHAnsi"/>
          <w:sz w:val="22"/>
          <w:szCs w:val="22"/>
        </w:rPr>
        <w:t>Vilka aspekter bidrar till känslan av tillfredsställelse i arbetet?</w:t>
      </w:r>
    </w:p>
    <w:p w:rsidR="00314CFB" w:rsidRDefault="00314CFB" w:rsidP="00314CFB">
      <w:pPr>
        <w:tabs>
          <w:tab w:val="left" w:pos="720"/>
          <w:tab w:val="left" w:pos="5760"/>
        </w:tabs>
        <w:spacing w:line="276" w:lineRule="auto"/>
        <w:ind w:right="-108"/>
        <w:jc w:val="both"/>
        <w:rPr>
          <w:rFonts w:asciiTheme="minorHAnsi" w:hAnsiTheme="minorHAnsi" w:cstheme="minorHAnsi"/>
          <w:b/>
          <w:sz w:val="22"/>
          <w:szCs w:val="22"/>
        </w:rPr>
      </w:pPr>
    </w:p>
    <w:p w:rsidR="00314CFB" w:rsidRDefault="00314CFB" w:rsidP="00E6113A">
      <w:pPr>
        <w:tabs>
          <w:tab w:val="left" w:pos="720"/>
          <w:tab w:val="left" w:pos="5760"/>
        </w:tabs>
        <w:spacing w:line="276" w:lineRule="auto"/>
        <w:ind w:right="-108"/>
        <w:jc w:val="both"/>
        <w:rPr>
          <w:rFonts w:asciiTheme="minorHAnsi" w:hAnsiTheme="minorHAnsi" w:cstheme="minorHAnsi"/>
          <w:b/>
          <w:sz w:val="22"/>
          <w:szCs w:val="22"/>
        </w:rPr>
      </w:pPr>
      <w:r>
        <w:rPr>
          <w:rFonts w:asciiTheme="minorHAnsi" w:hAnsiTheme="minorHAnsi" w:cstheme="minorHAnsi"/>
          <w:b/>
          <w:sz w:val="22"/>
          <w:szCs w:val="22"/>
        </w:rPr>
        <w:t>Metod</w:t>
      </w:r>
    </w:p>
    <w:p w:rsidR="00867C2E" w:rsidRDefault="00314CFB" w:rsidP="00E6113A">
      <w:pPr>
        <w:spacing w:line="276" w:lineRule="auto"/>
      </w:pPr>
      <w:r>
        <w:rPr>
          <w:rFonts w:asciiTheme="minorHAnsi" w:hAnsiTheme="minorHAnsi" w:cstheme="minorHAnsi"/>
          <w:sz w:val="22"/>
          <w:szCs w:val="22"/>
        </w:rPr>
        <w:t>Studie är en beskrivande kvalitativ studie. Data kommer att insamlas med hjälp av fokusgruppsintervjuer med sammanlagt ca 35 personal som arbetar på SäBo. De SäBo som kommer att inkluderas omfattar såväl vanliga enheter som specifika enheter för personer med demenssjukdomar och kommer att representera en variation avseende driftsform, det vill säga såväl kommunala, privata och boenden som drivs i stiftelseform. Samtliga tillfrågade boenden omfattar 4-6 boendeenheter, med ca 10-12 personal anställda vid varje enhet. Fokusgruppsintervjuerna kommer att genom</w:t>
      </w:r>
      <w:r w:rsidR="00E6113A">
        <w:rPr>
          <w:rFonts w:asciiTheme="minorHAnsi" w:hAnsiTheme="minorHAnsi" w:cstheme="minorHAnsi"/>
          <w:sz w:val="22"/>
          <w:szCs w:val="22"/>
        </w:rPr>
        <w:t>föras under våren/sommaren 2013 och studien beräknas kunna sändas in för publicering under hösten 2013.</w:t>
      </w:r>
    </w:p>
    <w:sectPr w:rsidR="0086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D2011"/>
    <w:multiLevelType w:val="hybridMultilevel"/>
    <w:tmpl w:val="E08CE2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FB"/>
    <w:rsid w:val="00314CFB"/>
    <w:rsid w:val="008B3EFF"/>
    <w:rsid w:val="00973A4B"/>
    <w:rsid w:val="00E23AD4"/>
    <w:rsid w:val="00E61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2565</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Anna-Karin Edberg</dc:creator>
  <cp:lastModifiedBy>Monika Titor</cp:lastModifiedBy>
  <cp:revision>2</cp:revision>
  <dcterms:created xsi:type="dcterms:W3CDTF">2013-07-29T12:56:00Z</dcterms:created>
  <dcterms:modified xsi:type="dcterms:W3CDTF">2013-07-29T12:56:00Z</dcterms:modified>
</cp:coreProperties>
</file>